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8F" w:rsidRDefault="00C8738F" w:rsidP="00F736DB">
      <w:pPr>
        <w:pStyle w:val="Heading1"/>
        <w:rPr>
          <w:sz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044CC59" wp14:editId="5A60389D">
            <wp:simplePos x="0" y="0"/>
            <wp:positionH relativeFrom="margin">
              <wp:posOffset>3365500</wp:posOffset>
            </wp:positionH>
            <wp:positionV relativeFrom="margin">
              <wp:posOffset>-394970</wp:posOffset>
            </wp:positionV>
            <wp:extent cx="2768600" cy="770255"/>
            <wp:effectExtent l="0" t="0" r="0" b="0"/>
            <wp:wrapSquare wrapText="bothSides"/>
            <wp:docPr id="1" name="Picture 1" descr="D:\Docs\Paul\Work\KCCG\Kernow Clinical Commissioning Group COL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s\Paul\Work\KCCG\Kernow Clinical Commissioning Group COL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38F" w:rsidRDefault="00C8738F" w:rsidP="00F736DB">
      <w:pPr>
        <w:pStyle w:val="Heading1"/>
        <w:rPr>
          <w:sz w:val="32"/>
        </w:rPr>
      </w:pPr>
    </w:p>
    <w:p w:rsidR="00C8738F" w:rsidRDefault="00C8738F" w:rsidP="00F736DB">
      <w:pPr>
        <w:pStyle w:val="Heading1"/>
        <w:rPr>
          <w:sz w:val="32"/>
        </w:rPr>
      </w:pPr>
    </w:p>
    <w:p w:rsidR="00F736DB" w:rsidRDefault="00F736DB" w:rsidP="00F736DB">
      <w:pPr>
        <w:pStyle w:val="Heading1"/>
        <w:rPr>
          <w:sz w:val="32"/>
        </w:rPr>
      </w:pPr>
      <w:r>
        <w:rPr>
          <w:sz w:val="32"/>
        </w:rPr>
        <w:t xml:space="preserve">Specification for a local enhanced service </w:t>
      </w:r>
      <w:r w:rsidR="00560DD6">
        <w:rPr>
          <w:sz w:val="32"/>
        </w:rPr>
        <w:t>for Musculoskeletal Steroid injection</w:t>
      </w:r>
      <w:r>
        <w:rPr>
          <w:sz w:val="32"/>
        </w:rPr>
        <w:t xml:space="preserve"> Consultations</w:t>
      </w:r>
    </w:p>
    <w:p w:rsidR="00F736DB" w:rsidRDefault="00F736DB" w:rsidP="00F736DB"/>
    <w:p w:rsidR="001763D1" w:rsidRPr="001763D1" w:rsidRDefault="001763D1" w:rsidP="001763D1">
      <w:pPr>
        <w:jc w:val="both"/>
        <w:rPr>
          <w:rFonts w:ascii="Arial" w:hAnsi="Arial" w:cs="Arial"/>
          <w:u w:val="single"/>
        </w:rPr>
      </w:pPr>
      <w:r w:rsidRPr="001763D1">
        <w:rPr>
          <w:rFonts w:ascii="Arial" w:hAnsi="Arial" w:cs="Arial"/>
          <w:u w:val="single"/>
        </w:rPr>
        <w:t xml:space="preserve">Inter-practice referral information. </w:t>
      </w:r>
    </w:p>
    <w:p w:rsidR="001763D1" w:rsidRDefault="001763D1" w:rsidP="00F736DB">
      <w:pPr>
        <w:pStyle w:val="Heading2"/>
      </w:pPr>
    </w:p>
    <w:p w:rsidR="00F736DB" w:rsidRDefault="00F736DB" w:rsidP="00F736DB">
      <w:pPr>
        <w:pStyle w:val="Heading2"/>
      </w:pPr>
      <w:r>
        <w:t>Introduction</w:t>
      </w:r>
    </w:p>
    <w:p w:rsidR="00F736DB" w:rsidRDefault="00F736DB" w:rsidP="00F736DB">
      <w:pPr>
        <w:rPr>
          <w:rFonts w:ascii="Arial" w:hAnsi="Arial" w:cs="Arial"/>
        </w:rPr>
      </w:pPr>
    </w:p>
    <w:p w:rsidR="00F736DB" w:rsidRDefault="00F736DB" w:rsidP="00F736DB">
      <w:pPr>
        <w:rPr>
          <w:rFonts w:ascii="Arial" w:hAnsi="Arial" w:cs="Arial"/>
        </w:rPr>
      </w:pPr>
      <w:r w:rsidRPr="00034FF8">
        <w:rPr>
          <w:rFonts w:ascii="Arial" w:hAnsi="Arial" w:cs="Arial"/>
        </w:rPr>
        <w:t xml:space="preserve">A significant number of patients are referred to </w:t>
      </w:r>
      <w:r w:rsidR="001763D1">
        <w:rPr>
          <w:rFonts w:ascii="Arial" w:hAnsi="Arial" w:cs="Arial"/>
        </w:rPr>
        <w:t xml:space="preserve">Secondary Care </w:t>
      </w:r>
      <w:r w:rsidR="00560DD6">
        <w:rPr>
          <w:rFonts w:ascii="Arial" w:hAnsi="Arial" w:cs="Arial"/>
        </w:rPr>
        <w:t>for musculoskeletal steroid</w:t>
      </w:r>
      <w:r w:rsidRPr="00034FF8">
        <w:rPr>
          <w:rFonts w:ascii="Arial" w:hAnsi="Arial" w:cs="Arial"/>
        </w:rPr>
        <w:t xml:space="preserve"> injection</w:t>
      </w:r>
      <w:r w:rsidR="00560DD6">
        <w:rPr>
          <w:rFonts w:ascii="Arial" w:hAnsi="Arial" w:cs="Arial"/>
        </w:rPr>
        <w:t>s</w:t>
      </w:r>
      <w:r w:rsidRPr="00034FF8">
        <w:rPr>
          <w:rFonts w:ascii="Arial" w:hAnsi="Arial" w:cs="Arial"/>
        </w:rPr>
        <w:t xml:space="preserve"> that could be undertaken under the Minor Surgery </w:t>
      </w:r>
      <w:r w:rsidR="001763D1">
        <w:rPr>
          <w:rFonts w:ascii="Arial" w:hAnsi="Arial" w:cs="Arial"/>
        </w:rPr>
        <w:t>Direct Enhanced Service (D</w:t>
      </w:r>
      <w:r w:rsidRPr="00034FF8">
        <w:rPr>
          <w:rFonts w:ascii="Arial" w:hAnsi="Arial" w:cs="Arial"/>
        </w:rPr>
        <w:t>ES)</w:t>
      </w:r>
      <w:r w:rsidR="001763D1">
        <w:rPr>
          <w:rFonts w:ascii="Arial" w:hAnsi="Arial" w:cs="Arial"/>
        </w:rPr>
        <w:t xml:space="preserve"> in Primary C</w:t>
      </w:r>
      <w:r w:rsidRPr="00034FF8">
        <w:rPr>
          <w:rFonts w:ascii="Arial" w:hAnsi="Arial" w:cs="Arial"/>
        </w:rPr>
        <w:t>are.  As part of the redesign of musculoskeletal services, practices are being encouraged to</w:t>
      </w:r>
      <w:r w:rsidR="001763D1">
        <w:rPr>
          <w:rFonts w:ascii="Arial" w:hAnsi="Arial" w:cs="Arial"/>
        </w:rPr>
        <w:t xml:space="preserve"> undertake joint injections in Primary C</w:t>
      </w:r>
      <w:r w:rsidRPr="00034FF8">
        <w:rPr>
          <w:rFonts w:ascii="Arial" w:hAnsi="Arial" w:cs="Arial"/>
        </w:rPr>
        <w:t xml:space="preserve">are where possible.  To increase the availability of this service, training days for joint injections </w:t>
      </w:r>
      <w:r w:rsidR="001763D1">
        <w:rPr>
          <w:rFonts w:ascii="Arial" w:hAnsi="Arial" w:cs="Arial"/>
        </w:rPr>
        <w:t>will be</w:t>
      </w:r>
      <w:r w:rsidRPr="00034FF8">
        <w:rPr>
          <w:rFonts w:ascii="Arial" w:hAnsi="Arial" w:cs="Arial"/>
        </w:rPr>
        <w:t xml:space="preserve"> </w:t>
      </w:r>
      <w:proofErr w:type="spellStart"/>
      <w:r w:rsidRPr="00034FF8">
        <w:rPr>
          <w:rFonts w:ascii="Arial" w:hAnsi="Arial" w:cs="Arial"/>
        </w:rPr>
        <w:t>organised</w:t>
      </w:r>
      <w:proofErr w:type="spellEnd"/>
      <w:r w:rsidRPr="00034FF8">
        <w:rPr>
          <w:rFonts w:ascii="Arial" w:hAnsi="Arial" w:cs="Arial"/>
        </w:rPr>
        <w:t xml:space="preserve"> </w:t>
      </w:r>
      <w:r w:rsidR="001763D1">
        <w:rPr>
          <w:rFonts w:ascii="Arial" w:hAnsi="Arial" w:cs="Arial"/>
        </w:rPr>
        <w:t xml:space="preserve">(on demand) </w:t>
      </w:r>
      <w:r w:rsidRPr="00034FF8">
        <w:rPr>
          <w:rFonts w:ascii="Arial" w:hAnsi="Arial" w:cs="Arial"/>
        </w:rPr>
        <w:t xml:space="preserve">and practices have been reminded that, under the minor surgery enhanced service, practices are able to refer to each other for this procedure.  </w:t>
      </w:r>
    </w:p>
    <w:p w:rsidR="001763D1" w:rsidRDefault="001763D1" w:rsidP="00F736DB">
      <w:pPr>
        <w:rPr>
          <w:rFonts w:ascii="Arial" w:hAnsi="Arial" w:cs="Arial"/>
        </w:rPr>
      </w:pPr>
    </w:p>
    <w:p w:rsidR="001763D1" w:rsidRDefault="001763D1" w:rsidP="00F736DB">
      <w:pPr>
        <w:rPr>
          <w:rFonts w:ascii="Arial" w:hAnsi="Arial" w:cs="Arial"/>
        </w:rPr>
      </w:pPr>
      <w:r>
        <w:rPr>
          <w:rFonts w:ascii="Arial" w:hAnsi="Arial" w:cs="Arial"/>
        </w:rPr>
        <w:t>If you wish to enroll onto a training course, please contact the named individual below who will be able to communicate upcoming dates &amp; locations.</w:t>
      </w:r>
    </w:p>
    <w:p w:rsidR="001763D1" w:rsidRDefault="001763D1" w:rsidP="00F736DB">
      <w:pPr>
        <w:rPr>
          <w:rFonts w:ascii="Arial" w:hAnsi="Arial" w:cs="Arial"/>
        </w:rPr>
      </w:pPr>
    </w:p>
    <w:p w:rsidR="001763D1" w:rsidRDefault="001763D1" w:rsidP="00F736DB">
      <w:pPr>
        <w:rPr>
          <w:rFonts w:ascii="Arial" w:hAnsi="Arial" w:cs="Arial"/>
        </w:rPr>
      </w:pPr>
      <w:r>
        <w:rPr>
          <w:rFonts w:ascii="Arial" w:hAnsi="Arial" w:cs="Arial"/>
        </w:rPr>
        <w:t>Nigel D’Arcy</w:t>
      </w:r>
    </w:p>
    <w:p w:rsidR="001763D1" w:rsidRDefault="001763D1" w:rsidP="00F73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Manager Elective Care (NHS </w:t>
      </w:r>
      <w:proofErr w:type="spellStart"/>
      <w:r>
        <w:rPr>
          <w:rFonts w:ascii="Arial" w:hAnsi="Arial" w:cs="Arial"/>
        </w:rPr>
        <w:t>Kernow</w:t>
      </w:r>
      <w:proofErr w:type="spellEnd"/>
      <w:r>
        <w:rPr>
          <w:rFonts w:ascii="Arial" w:hAnsi="Arial" w:cs="Arial"/>
        </w:rPr>
        <w:t>)</w:t>
      </w:r>
    </w:p>
    <w:p w:rsidR="001763D1" w:rsidRDefault="00941343" w:rsidP="00F736DB">
      <w:pPr>
        <w:rPr>
          <w:rFonts w:ascii="Arial" w:hAnsi="Arial" w:cs="Arial"/>
        </w:rPr>
      </w:pPr>
      <w:hyperlink r:id="rId7" w:history="1">
        <w:r w:rsidR="001763D1" w:rsidRPr="00B10F23">
          <w:rPr>
            <w:rStyle w:val="Hyperlink"/>
            <w:rFonts w:ascii="Arial" w:hAnsi="Arial" w:cs="Arial"/>
          </w:rPr>
          <w:t>nigel.darcy@nhs.net</w:t>
        </w:r>
      </w:hyperlink>
    </w:p>
    <w:p w:rsidR="001763D1" w:rsidRDefault="001763D1" w:rsidP="00F736DB">
      <w:pPr>
        <w:rPr>
          <w:rFonts w:ascii="Arial" w:hAnsi="Arial" w:cs="Arial"/>
        </w:rPr>
      </w:pPr>
      <w:r>
        <w:rPr>
          <w:rFonts w:ascii="Arial" w:hAnsi="Arial" w:cs="Arial"/>
        </w:rPr>
        <w:t>07779 278919</w:t>
      </w:r>
    </w:p>
    <w:p w:rsidR="001763D1" w:rsidRPr="00034FF8" w:rsidRDefault="001763D1" w:rsidP="00F736DB">
      <w:pPr>
        <w:rPr>
          <w:rFonts w:ascii="Arial" w:hAnsi="Arial" w:cs="Arial"/>
        </w:rPr>
      </w:pPr>
    </w:p>
    <w:p w:rsidR="00F736DB" w:rsidRDefault="00F736DB" w:rsidP="00F736DB">
      <w:pPr>
        <w:pStyle w:val="Heading2"/>
      </w:pPr>
      <w:r>
        <w:t>Aim of this LES</w:t>
      </w:r>
    </w:p>
    <w:p w:rsidR="00F736DB" w:rsidRDefault="00F736DB" w:rsidP="00F736DB">
      <w:pPr>
        <w:rPr>
          <w:rFonts w:ascii="Arial" w:hAnsi="Arial" w:cs="Arial"/>
        </w:rPr>
      </w:pPr>
    </w:p>
    <w:p w:rsidR="00F736DB" w:rsidRDefault="00F736DB" w:rsidP="00F736DB">
      <w:pPr>
        <w:pStyle w:val="BodyText"/>
      </w:pPr>
      <w:r>
        <w:t xml:space="preserve">To ensure that </w:t>
      </w:r>
      <w:r w:rsidR="001763D1">
        <w:t xml:space="preserve">GP Surgeries </w:t>
      </w:r>
      <w:r>
        <w:t xml:space="preserve">who receive referrals from other practices are able to receive a payment for any consultations </w:t>
      </w:r>
      <w:proofErr w:type="gramStart"/>
      <w:r>
        <w:t xml:space="preserve">that </w:t>
      </w:r>
      <w:r w:rsidRPr="00560DD6">
        <w:rPr>
          <w:b/>
        </w:rPr>
        <w:t>do</w:t>
      </w:r>
      <w:proofErr w:type="gramEnd"/>
      <w:r w:rsidRPr="00560DD6">
        <w:rPr>
          <w:b/>
        </w:rPr>
        <w:t xml:space="preserve"> not</w:t>
      </w:r>
      <w:r>
        <w:t xml:space="preserve"> result in a joint injection being given. (Note that patients who do receive an injection are covered by the minor surgery</w:t>
      </w:r>
      <w:r w:rsidR="001763D1">
        <w:t xml:space="preserve"> D</w:t>
      </w:r>
      <w:r>
        <w:t>ES).</w:t>
      </w:r>
    </w:p>
    <w:p w:rsidR="00F736DB" w:rsidRDefault="00F736DB" w:rsidP="00F736DB">
      <w:pPr>
        <w:rPr>
          <w:rFonts w:ascii="Arial" w:hAnsi="Arial" w:cs="Arial"/>
        </w:rPr>
      </w:pPr>
    </w:p>
    <w:p w:rsidR="00F736DB" w:rsidRDefault="00F736DB" w:rsidP="00F736DB">
      <w:pPr>
        <w:pStyle w:val="Heading2"/>
      </w:pPr>
      <w:r>
        <w:t>Service Outline</w:t>
      </w:r>
    </w:p>
    <w:p w:rsidR="00F736DB" w:rsidRDefault="00F736DB" w:rsidP="00F736DB">
      <w:pPr>
        <w:rPr>
          <w:rFonts w:ascii="Arial" w:hAnsi="Arial" w:cs="Arial"/>
        </w:rPr>
      </w:pPr>
    </w:p>
    <w:p w:rsidR="001763D1" w:rsidRDefault="00F736DB" w:rsidP="00F736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Practice</w:t>
      </w:r>
      <w:r w:rsidR="001763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who agree to accept referrals from other practices for joint injections are eligible to take part in this LES</w:t>
      </w:r>
      <w:r w:rsidR="001763D1">
        <w:rPr>
          <w:rFonts w:ascii="Arial" w:hAnsi="Arial" w:cs="Arial"/>
        </w:rPr>
        <w:t xml:space="preserve">. </w:t>
      </w:r>
    </w:p>
    <w:p w:rsidR="001763D1" w:rsidRDefault="001763D1" w:rsidP="001763D1">
      <w:pPr>
        <w:ind w:left="360"/>
        <w:rPr>
          <w:rFonts w:ascii="Arial" w:hAnsi="Arial" w:cs="Arial"/>
        </w:rPr>
      </w:pPr>
    </w:p>
    <w:p w:rsidR="00F736DB" w:rsidRPr="001763D1" w:rsidRDefault="001763D1" w:rsidP="00F736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Referrals to be received electronically between practices.</w:t>
      </w:r>
    </w:p>
    <w:p w:rsidR="001763D1" w:rsidRDefault="001763D1" w:rsidP="001763D1">
      <w:pPr>
        <w:pStyle w:val="ListParagraph"/>
        <w:rPr>
          <w:rFonts w:ascii="Arial" w:hAnsi="Arial" w:cs="Arial"/>
        </w:rPr>
      </w:pPr>
    </w:p>
    <w:p w:rsidR="001763D1" w:rsidRDefault="001763D1" w:rsidP="00F736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Patient to be given ‘temporary resident </w:t>
      </w:r>
      <w:proofErr w:type="gramStart"/>
      <w:r>
        <w:rPr>
          <w:rFonts w:ascii="Arial" w:hAnsi="Arial" w:cs="Arial"/>
        </w:rPr>
        <w:t>status’</w:t>
      </w:r>
      <w:proofErr w:type="gramEnd"/>
      <w:r>
        <w:rPr>
          <w:rFonts w:ascii="Arial" w:hAnsi="Arial" w:cs="Arial"/>
        </w:rPr>
        <w:t>.</w:t>
      </w:r>
    </w:p>
    <w:p w:rsidR="00F736DB" w:rsidRDefault="00F736DB" w:rsidP="00F736DB">
      <w:pPr>
        <w:rPr>
          <w:rFonts w:ascii="Arial" w:hAnsi="Arial" w:cs="Arial"/>
        </w:rPr>
      </w:pPr>
    </w:p>
    <w:p w:rsidR="00F736DB" w:rsidRDefault="00F736DB" w:rsidP="00F736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payment associated with this LES only applies where a patient from another practice receives a consultation for a joint injection but no injection is deemed necessary.</w:t>
      </w:r>
    </w:p>
    <w:p w:rsidR="00F736DB" w:rsidRDefault="00F736DB" w:rsidP="00F736DB">
      <w:pPr>
        <w:rPr>
          <w:rFonts w:ascii="Arial" w:hAnsi="Arial" w:cs="Arial"/>
        </w:rPr>
      </w:pPr>
    </w:p>
    <w:p w:rsidR="00F736DB" w:rsidRDefault="00F736DB" w:rsidP="00F736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LES payments will only apply to patients who are not registered with the practice.</w:t>
      </w:r>
    </w:p>
    <w:p w:rsidR="00F736DB" w:rsidRDefault="00F736DB" w:rsidP="00F736DB">
      <w:pPr>
        <w:rPr>
          <w:rFonts w:ascii="Arial" w:hAnsi="Arial" w:cs="Arial"/>
        </w:rPr>
      </w:pPr>
    </w:p>
    <w:p w:rsidR="00F736DB" w:rsidRDefault="00F736DB" w:rsidP="00F736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practice should report any activity on the quarterly </w:t>
      </w:r>
      <w:r w:rsidR="001763D1">
        <w:rPr>
          <w:rFonts w:ascii="Arial" w:hAnsi="Arial" w:cs="Arial"/>
        </w:rPr>
        <w:t>KCCG</w:t>
      </w:r>
      <w:r>
        <w:rPr>
          <w:rFonts w:ascii="Arial" w:hAnsi="Arial" w:cs="Arial"/>
        </w:rPr>
        <w:t xml:space="preserve"> monitoring returns. Payment will be in arrears.</w:t>
      </w:r>
    </w:p>
    <w:p w:rsidR="00F736DB" w:rsidRDefault="00F736DB" w:rsidP="00F736DB">
      <w:pPr>
        <w:rPr>
          <w:rFonts w:ascii="Arial" w:hAnsi="Arial" w:cs="Arial"/>
        </w:rPr>
      </w:pPr>
    </w:p>
    <w:p w:rsidR="00F736DB" w:rsidRPr="00034FF8" w:rsidRDefault="00F736DB" w:rsidP="00F736DB">
      <w:pPr>
        <w:rPr>
          <w:rFonts w:ascii="Arial" w:hAnsi="Arial" w:cs="Arial"/>
          <w:u w:val="single"/>
        </w:rPr>
      </w:pPr>
      <w:r w:rsidRPr="00034FF8">
        <w:rPr>
          <w:rFonts w:ascii="Arial" w:hAnsi="Arial" w:cs="Arial"/>
          <w:u w:val="single"/>
        </w:rPr>
        <w:t>Eligibility to provide the service</w:t>
      </w:r>
    </w:p>
    <w:p w:rsidR="00F736DB" w:rsidRDefault="00F736DB" w:rsidP="00F736DB">
      <w:pPr>
        <w:rPr>
          <w:rFonts w:ascii="Arial" w:hAnsi="Arial" w:cs="Arial"/>
        </w:rPr>
      </w:pPr>
    </w:p>
    <w:p w:rsidR="00F736DB" w:rsidRDefault="00F736DB" w:rsidP="00F736DB">
      <w:pPr>
        <w:rPr>
          <w:rFonts w:ascii="Arial" w:hAnsi="Arial" w:cs="Arial"/>
        </w:rPr>
      </w:pPr>
      <w:r>
        <w:rPr>
          <w:rFonts w:ascii="Arial" w:hAnsi="Arial" w:cs="Arial"/>
        </w:rPr>
        <w:t>To be eligible for this service the practice must comply with the requirements set out in the Minor Surgery DES specification</w:t>
      </w:r>
    </w:p>
    <w:p w:rsidR="00F736DB" w:rsidRDefault="00F736DB" w:rsidP="00F736DB">
      <w:pPr>
        <w:rPr>
          <w:rFonts w:ascii="Arial" w:hAnsi="Arial" w:cs="Arial"/>
        </w:rPr>
      </w:pPr>
    </w:p>
    <w:p w:rsidR="00F736DB" w:rsidRDefault="00F736DB" w:rsidP="00F736DB">
      <w:pPr>
        <w:pStyle w:val="Heading2"/>
      </w:pPr>
      <w:r>
        <w:t>Audit arrangements</w:t>
      </w:r>
    </w:p>
    <w:p w:rsidR="00F736DB" w:rsidRDefault="00F736DB" w:rsidP="00F736DB">
      <w:pPr>
        <w:rPr>
          <w:rFonts w:ascii="Arial" w:hAnsi="Arial" w:cs="Arial"/>
        </w:rPr>
      </w:pPr>
    </w:p>
    <w:p w:rsidR="00F736DB" w:rsidRDefault="00F736DB" w:rsidP="00F736DB">
      <w:pPr>
        <w:pStyle w:val="BodyText"/>
      </w:pPr>
      <w:bookmarkStart w:id="1" w:name="OLE_LINK1"/>
      <w:r>
        <w:t xml:space="preserve">The practice will provide the </w:t>
      </w:r>
      <w:r w:rsidR="001763D1">
        <w:t>KCCG</w:t>
      </w:r>
      <w:r>
        <w:t xml:space="preserve"> with a yearly audit, </w:t>
      </w:r>
      <w:bookmarkEnd w:id="1"/>
      <w:r>
        <w:t>detailing the number of patients attending for the consultation and the outcomes</w:t>
      </w:r>
    </w:p>
    <w:p w:rsidR="00F736DB" w:rsidRDefault="00F736DB" w:rsidP="00F736DB">
      <w:pPr>
        <w:pStyle w:val="BodyText"/>
      </w:pPr>
    </w:p>
    <w:p w:rsidR="00F736DB" w:rsidRDefault="00F736DB" w:rsidP="00F736DB">
      <w:pPr>
        <w:pStyle w:val="BodyText"/>
      </w:pPr>
    </w:p>
    <w:p w:rsidR="00F736DB" w:rsidRDefault="00F736DB" w:rsidP="00F736DB">
      <w:pPr>
        <w:pStyle w:val="Heading2"/>
      </w:pPr>
      <w:r>
        <w:t>Cost</w:t>
      </w:r>
    </w:p>
    <w:p w:rsidR="00F736DB" w:rsidRDefault="00F736DB" w:rsidP="00F736DB">
      <w:pPr>
        <w:rPr>
          <w:rFonts w:ascii="Arial" w:hAnsi="Arial" w:cs="Arial"/>
        </w:rPr>
      </w:pPr>
    </w:p>
    <w:p w:rsidR="00F736DB" w:rsidRDefault="00F736DB" w:rsidP="00F736DB">
      <w:pPr>
        <w:rPr>
          <w:rFonts w:ascii="Arial" w:hAnsi="Arial" w:cs="Arial"/>
        </w:rPr>
      </w:pPr>
    </w:p>
    <w:p w:rsidR="00F736DB" w:rsidRDefault="00F736DB" w:rsidP="00F736DB">
      <w:pPr>
        <w:rPr>
          <w:rFonts w:ascii="Arial" w:hAnsi="Arial" w:cs="Arial"/>
        </w:rPr>
      </w:pPr>
      <w:r>
        <w:rPr>
          <w:rFonts w:ascii="Arial" w:hAnsi="Arial" w:cs="Arial"/>
        </w:rPr>
        <w:t>£43.47 per consultation</w:t>
      </w:r>
    </w:p>
    <w:p w:rsidR="004B2954" w:rsidRDefault="004B2954" w:rsidP="00F736DB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tabs>
          <w:tab w:val="left" w:pos="78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Pr="004B2954" w:rsidRDefault="004B2954" w:rsidP="004B2954">
      <w:pPr>
        <w:rPr>
          <w:rFonts w:ascii="Arial" w:hAnsi="Arial" w:cs="Arial"/>
        </w:rPr>
      </w:pPr>
    </w:p>
    <w:p w:rsidR="004B2954" w:rsidRDefault="004B2954" w:rsidP="004B2954">
      <w:pPr>
        <w:rPr>
          <w:rFonts w:ascii="Arial" w:hAnsi="Arial" w:cs="Arial"/>
        </w:rPr>
      </w:pPr>
    </w:p>
    <w:p w:rsidR="004B2954" w:rsidRDefault="004B2954" w:rsidP="004B2954">
      <w:pPr>
        <w:rPr>
          <w:rFonts w:ascii="Arial" w:hAnsi="Arial" w:cs="Arial"/>
        </w:rPr>
      </w:pPr>
    </w:p>
    <w:p w:rsidR="001763D1" w:rsidRDefault="004B2954" w:rsidP="004B29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Jan 2017</w:t>
      </w:r>
    </w:p>
    <w:p w:rsidR="004B2954" w:rsidRPr="004B2954" w:rsidRDefault="004B2954" w:rsidP="004B29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V2</w:t>
      </w:r>
    </w:p>
    <w:sectPr w:rsidR="004B2954" w:rsidRPr="004B2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F71"/>
    <w:multiLevelType w:val="hybridMultilevel"/>
    <w:tmpl w:val="41D60B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B"/>
    <w:rsid w:val="000D274D"/>
    <w:rsid w:val="001763D1"/>
    <w:rsid w:val="004B2954"/>
    <w:rsid w:val="00560DD6"/>
    <w:rsid w:val="00941343"/>
    <w:rsid w:val="00A812CF"/>
    <w:rsid w:val="00AD714A"/>
    <w:rsid w:val="00C8738F"/>
    <w:rsid w:val="00C9350D"/>
    <w:rsid w:val="00F736DB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36DB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736DB"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6DB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F736DB"/>
    <w:rPr>
      <w:rFonts w:ascii="Arial" w:eastAsia="Times New Roman" w:hAnsi="Arial" w:cs="Arial"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F736DB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F736DB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763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36DB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736DB"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6DB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F736DB"/>
    <w:rPr>
      <w:rFonts w:ascii="Arial" w:eastAsia="Times New Roman" w:hAnsi="Arial" w:cs="Arial"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F736DB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F736DB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763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gel.darcy@nhs.ne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FA5AD-28FF-470C-BFF1-044AA41FC091}"/>
</file>

<file path=customXml/itemProps2.xml><?xml version="1.0" encoding="utf-8"?>
<ds:datastoreItem xmlns:ds="http://schemas.openxmlformats.org/officeDocument/2006/customXml" ds:itemID="{1271FEAF-00A9-476E-9F55-1DB2E8FFFB71}"/>
</file>

<file path=customXml/itemProps3.xml><?xml version="1.0" encoding="utf-8"?>
<ds:datastoreItem xmlns:ds="http://schemas.openxmlformats.org/officeDocument/2006/customXml" ds:itemID="{E440A323-62CD-4C04-BEDD-7EAC9DB15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D'arcy</dc:creator>
  <cp:lastModifiedBy>Matthew Fox</cp:lastModifiedBy>
  <cp:revision>2</cp:revision>
  <dcterms:created xsi:type="dcterms:W3CDTF">2017-01-31T09:57:00Z</dcterms:created>
  <dcterms:modified xsi:type="dcterms:W3CDTF">2017-01-31T09:57:00Z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